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4E5" w:rsidRDefault="005834E5"/>
    <w:p w:rsidR="00E766F5" w:rsidRPr="007C3600" w:rsidRDefault="00E766F5" w:rsidP="00781CD3">
      <w:pPr>
        <w:ind w:right="-709"/>
        <w:jc w:val="right"/>
        <w:rPr>
          <w:rFonts w:ascii="Book Antiqua" w:hAnsi="Book Antiqua" w:cs="Arial"/>
          <w:i/>
          <w:sz w:val="24"/>
          <w:szCs w:val="24"/>
          <w:lang w:val="bg-BG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 xml:space="preserve">Приложение </w:t>
      </w:r>
      <w:r w:rsidR="00781CD3">
        <w:rPr>
          <w:rFonts w:ascii="Book Antiqua" w:hAnsi="Book Antiqua" w:cs="Arial"/>
          <w:i/>
          <w:sz w:val="24"/>
          <w:szCs w:val="24"/>
          <w:lang w:val="bg-BG"/>
        </w:rPr>
        <w:t xml:space="preserve">№ </w:t>
      </w:r>
      <w:r w:rsidRPr="007C3600">
        <w:rPr>
          <w:rFonts w:ascii="Book Antiqua" w:hAnsi="Book Antiqua" w:cs="Arial"/>
          <w:i/>
          <w:sz w:val="24"/>
          <w:szCs w:val="24"/>
          <w:lang w:val="bg-BG"/>
        </w:rPr>
        <w:t>21</w:t>
      </w:r>
    </w:p>
    <w:p w:rsidR="00E766F5" w:rsidRPr="007A08A1" w:rsidRDefault="00E766F5" w:rsidP="00E766F5">
      <w:pPr>
        <w:jc w:val="center"/>
        <w:rPr>
          <w:rFonts w:ascii="Book Antiqua" w:hAnsi="Book Antiqua" w:cs="Arial"/>
          <w:b/>
          <w:bCs/>
          <w:sz w:val="22"/>
          <w:szCs w:val="22"/>
          <w:lang w:val="bg-BG"/>
        </w:rPr>
      </w:pPr>
    </w:p>
    <w:p w:rsidR="00E766F5" w:rsidRPr="007A08A1" w:rsidRDefault="00E766F5" w:rsidP="00E766F5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Контролен лист</w:t>
      </w:r>
    </w:p>
    <w:p w:rsidR="00E766F5" w:rsidRPr="007A08A1" w:rsidRDefault="00E766F5" w:rsidP="00E766F5">
      <w:pPr>
        <w:jc w:val="center"/>
        <w:rPr>
          <w:rFonts w:ascii="Book Antiqua" w:hAnsi="Book Antiqua" w:cs="Arial"/>
          <w:sz w:val="24"/>
          <w:szCs w:val="24"/>
          <w:lang w:val="ru-RU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Проверка на договор за възлагане на обществена поръчка</w:t>
      </w:r>
    </w:p>
    <w:p w:rsidR="00E766F5" w:rsidRPr="007A08A1" w:rsidRDefault="00E766F5" w:rsidP="00E766F5">
      <w:pPr>
        <w:rPr>
          <w:rFonts w:ascii="Book Antiqua" w:hAnsi="Book Antiqua" w:cs="Arial"/>
          <w:sz w:val="22"/>
          <w:szCs w:val="22"/>
          <w:lang w:val="ru-RU"/>
        </w:rPr>
      </w:pPr>
      <w:r w:rsidRPr="007A08A1">
        <w:rPr>
          <w:rFonts w:ascii="Book Antiqua" w:hAnsi="Book Antiqua" w:cs="Arial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73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2978"/>
        <w:gridCol w:w="7757"/>
      </w:tblGrid>
      <w:tr w:rsidR="00E766F5" w:rsidRPr="007A08A1" w:rsidTr="00C81157">
        <w:trPr>
          <w:trHeight w:val="56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Регистрационен номер на проекта: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E766F5" w:rsidRPr="007A08A1" w:rsidTr="00C81157">
        <w:trPr>
          <w:trHeight w:val="373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Наименование  на проекта: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</w:tr>
      <w:tr w:rsidR="00E766F5" w:rsidRPr="007A08A1" w:rsidTr="00C81157">
        <w:trPr>
          <w:trHeight w:val="549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Обект на обществена поръчка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ДОСТАВКИ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 УСЛУГИ  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sym w:font="Wingdings 2" w:char="00A3"/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СТРОИТЕЛСТВО</w:t>
            </w:r>
          </w:p>
        </w:tc>
      </w:tr>
      <w:tr w:rsidR="00E766F5" w:rsidRPr="007A08A1" w:rsidTr="00C81157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Предмет на поръчката/обект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C81157">
        <w:trPr>
          <w:trHeight w:val="406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Прогнозна стойност: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E766F5" w:rsidRPr="007A08A1" w:rsidRDefault="00E766F5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C81157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E766F5" w:rsidRPr="007A08A1" w:rsidRDefault="00E766F5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Предлагана от класирания участник стойност:</w:t>
            </w: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:rsidR="00E766F5" w:rsidRPr="007A08A1" w:rsidRDefault="00E766F5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E766F5" w:rsidRDefault="00E766F5"/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574"/>
        <w:gridCol w:w="1842"/>
        <w:gridCol w:w="1460"/>
      </w:tblGrid>
      <w:tr w:rsidR="00E766F5" w:rsidRPr="00E766F5" w:rsidTr="00C81157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bCs/>
                <w:sz w:val="22"/>
                <w:szCs w:val="22"/>
                <w:lang w:val="en-US"/>
              </w:rPr>
              <w:t>I.</w:t>
            </w:r>
            <w:r w:rsidRPr="00E766F5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 за проверка преди подписване на договора за възлагане на обществената поръчка</w:t>
            </w:r>
          </w:p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</w:t>
            </w:r>
            <w:r w:rsidRPr="00E766F5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изпълнява се от НДЕФ</w:t>
            </w:r>
            <w:r w:rsidRPr="00E766F5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Забележа</w:t>
            </w: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Техническо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предложение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участника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Офертата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участника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отговаря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минималните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императивно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определените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изисквания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техническите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спецификации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Предложеният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участника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срок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за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изпълнение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по-кратък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максималния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срок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изискван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възложителя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Предложените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гаранционни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срокове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участника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отговарят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нормативно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определените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? (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ако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приложимо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Del="00C50CA7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.4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Спазени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всички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изисквания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възложителя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относно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техническите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спецификации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основните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материали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от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участника</w:t>
            </w:r>
            <w:proofErr w:type="spellEnd"/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 xml:space="preserve"> </w:t>
            </w:r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?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E766F5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Del="00C50CA7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1</w:t>
            </w:r>
            <w:r w:rsidR="00E766F5"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.5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частника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представили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е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сертификати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удостоверения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декларации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за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съответствие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/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за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експлоатационни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показатели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други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документи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доказващи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съответствие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предлаганите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материали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и/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или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оборудване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с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изискванията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 xml:space="preserve"> на </w:t>
            </w:r>
            <w:proofErr w:type="spellStart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възложителя</w:t>
            </w:r>
            <w:proofErr w:type="spellEnd"/>
            <w:r w:rsidRPr="00E766F5">
              <w:rPr>
                <w:rFonts w:ascii="Book Antiqua" w:hAnsi="Book Antiqua" w:cs="Arial"/>
                <w:bCs/>
                <w:sz w:val="22"/>
                <w:szCs w:val="22"/>
                <w:lang w:val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jc w:val="center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 xml:space="preserve">Ценово предложение на </w:t>
            </w: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участника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7A08A1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2.1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В ценовото предложение на изпълнителя допуснати ли са аритметични грешки?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7A08A1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2.2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Установени ли са грешки и несъответствия в посочените единични цени в ценовото предложение на изпълнителя?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7A08A1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6F5" w:rsidRPr="007A08A1" w:rsidTr="00E766F5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0C366C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lastRenderedPageBreak/>
              <w:t>2.3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F5" w:rsidRPr="00E766F5" w:rsidRDefault="00E766F5" w:rsidP="00E766F5">
            <w:pPr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E766F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Установени ли са грешки и несъответствия  в общата стойност за всички СМР, предложена от изпълнителя?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7A08A1" w:rsidRDefault="00E766F5" w:rsidP="00E766F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6F5" w:rsidRPr="00E766F5" w:rsidRDefault="00E766F5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E766F5" w:rsidRDefault="00E766F5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5391"/>
      </w:tblGrid>
      <w:tr w:rsidR="006423E3" w:rsidRPr="007A08A1" w:rsidTr="006423E3">
        <w:trPr>
          <w:trHeight w:val="465"/>
        </w:trPr>
        <w:tc>
          <w:tcPr>
            <w:tcW w:w="5383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НДЕФ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5391" w:type="dxa"/>
            <w:shd w:val="clear" w:color="auto" w:fill="BFBFBF"/>
          </w:tcPr>
          <w:p w:rsidR="006423E3" w:rsidRPr="007A08A1" w:rsidRDefault="006423E3" w:rsidP="00C81157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да/не</w:t>
            </w:r>
          </w:p>
        </w:tc>
      </w:tr>
      <w:tr w:rsidR="006423E3" w:rsidRPr="007A08A1" w:rsidTr="006423E3">
        <w:trPr>
          <w:trHeight w:val="871"/>
        </w:trPr>
        <w:tc>
          <w:tcPr>
            <w:tcW w:w="5383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Предлаганият за избор на изпълнител на СМР</w:t>
            </w:r>
            <w:r w:rsidR="005F7D08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/ЕСМ 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участник отговаря на изискванията на НДЕФ и Възложителя</w:t>
            </w:r>
          </w:p>
        </w:tc>
        <w:tc>
          <w:tcPr>
            <w:tcW w:w="5391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:rsidR="006423E3" w:rsidRDefault="006423E3" w:rsidP="006423E3">
      <w:pPr>
        <w:ind w:firstLine="142"/>
      </w:pPr>
    </w:p>
    <w:p w:rsidR="006423E3" w:rsidRPr="007A08A1" w:rsidRDefault="006423E3" w:rsidP="006423E3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8"/>
      </w:tblGrid>
      <w:tr w:rsidR="006423E3" w:rsidRPr="007A08A1" w:rsidTr="00C81157">
        <w:trPr>
          <w:trHeight w:val="388"/>
          <w:jc w:val="center"/>
        </w:trPr>
        <w:tc>
          <w:tcPr>
            <w:tcW w:w="10848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6423E3" w:rsidRPr="007A08A1" w:rsidTr="00C81157">
        <w:trPr>
          <w:trHeight w:val="636"/>
          <w:jc w:val="center"/>
        </w:trPr>
        <w:tc>
          <w:tcPr>
            <w:tcW w:w="10848" w:type="dxa"/>
            <w:tcBorders>
              <w:bottom w:val="single" w:sz="4" w:space="0" w:color="auto"/>
            </w:tcBorders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6423E3" w:rsidRDefault="006423E3" w:rsidP="006423E3">
      <w:pPr>
        <w:ind w:firstLine="142"/>
      </w:pPr>
    </w:p>
    <w:tbl>
      <w:tblPr>
        <w:tblW w:w="10774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4000"/>
        <w:gridCol w:w="3040"/>
        <w:gridCol w:w="2781"/>
      </w:tblGrid>
      <w:tr w:rsidR="006423E3" w:rsidRPr="007A08A1" w:rsidTr="006423E3">
        <w:trPr>
          <w:trHeight w:val="315"/>
        </w:trPr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7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423E3" w:rsidRPr="007A08A1" w:rsidTr="006423E3">
        <w:trPr>
          <w:trHeight w:val="420"/>
        </w:trPr>
        <w:tc>
          <w:tcPr>
            <w:tcW w:w="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423E3" w:rsidRPr="007A08A1" w:rsidTr="006423E3">
        <w:trPr>
          <w:trHeight w:val="31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</w:tbl>
    <w:p w:rsidR="006423E3" w:rsidRDefault="006423E3" w:rsidP="006423E3"/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574"/>
        <w:gridCol w:w="1842"/>
        <w:gridCol w:w="1460"/>
      </w:tblGrid>
      <w:tr w:rsidR="006423E3" w:rsidRPr="006423E3" w:rsidTr="00C81157">
        <w:trPr>
          <w:trHeight w:val="72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en-US"/>
              </w:rPr>
              <w:t>I.</w:t>
            </w: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 за проверка преди подписване на договора за възлагане на обществената поръчка</w:t>
            </w:r>
          </w:p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</w:t>
            </w:r>
            <w:r w:rsidRPr="006423E3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изпълнява се от</w:t>
            </w: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6423E3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юридически екип, определен от НДЕФ/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Забележа</w:t>
            </w:r>
          </w:p>
        </w:tc>
      </w:tr>
      <w:tr w:rsidR="006423E3" w:rsidRPr="006423E3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6423E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Ценово предложение на участника, определен за изпълнител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6423E3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2.4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Ценовото предложение на </w:t>
            </w: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участника</w:t>
            </w: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надвишава ли прогнозната стойност на поръчката?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6423E3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2.5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Предложената часова ставка от </w:t>
            </w: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участника</w:t>
            </w: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по-ниска ли е от минималната за страната?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  <w:r w:rsidR="006423E3"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Решение за откриване на процедура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решение отговаря ли на проекта, представен за предварителен контрол?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  <w:r w:rsidR="006423E3"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0C366C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0C366C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Обявление за обществена поръчка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Публикуваното обявление отговаря ли на проекта, представен за предварителен контрол?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  <w:r w:rsidR="006423E3"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0C366C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0C366C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Заповед за назначаване на комисия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Спазени ли са изискванията за съдържание на заповедта за назначаване на комисията по чл. 51, ал. 1 от ППЗОП? (ако е приложимо)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Членовете на комисията представили ли са декларации по чл. 51, ал. 8 от ППЗОП?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Протокол/доклад</w:t>
            </w: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foot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Съставеният протокол/доклад за резултатите от работата</w:t>
            </w:r>
            <w:r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 комисията за разглеждане и оценка на получените оферти съдържа ли  задължителните реквизити съгласно чл. 60, ал. 1 от ППЗОП?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Спазен ли е оповестения ред за отваряне, разглеждане и оценяване на офертите?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3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участниците за съответствие с изискванията към личното състояние и критериите за подбор, поставени от възложителя?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Посочени ли са в протокола установените липси, </w:t>
            </w:r>
            <w:proofErr w:type="spellStart"/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непълноти</w:t>
            </w:r>
            <w:proofErr w:type="spellEnd"/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или несъответствия на информацията, включително нередовност или фактическа грешка, или несъответствие с изискванията към личното състояние или критериите за подбор, и изпратен ли е протоколът на всички участници в деня на публикуването му в профила на купувача (чл. 104, ал. 4 от ЗОП; чл. 54, ал. 8 от ППЗОП)?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5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Представени ли са в срока по чл. 54, ал. 9 от ППЗОП нов ЕЕДОП и/или други документи, които съдържат променена и/или допълнена информация от участниците, по отношение на които е констатирано несъответствие или липса на информация?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Извършена ли е проверка на съответствието на техническите предложения с изискванията на възложителя?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съответствието на ценовите предложения с изискванията на възложителя?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изискванията по отношение на необичайно благоприятните оферти по чл. 72 от ЗОП?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6423E3" w:rsidRPr="006423E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ЕЕДОП на избрания изпълнител и останалите участници</w:t>
            </w:r>
            <w:r w:rsidRPr="006423E3">
              <w:rPr>
                <w:rStyle w:val="FootnoteReference"/>
                <w:rFonts w:ascii="Book Antiqua" w:hAnsi="Book Antiqua" w:cs="Arial"/>
                <w:sz w:val="22"/>
                <w:szCs w:val="22"/>
                <w:vertAlign w:val="baseline"/>
                <w:lang w:val="bg-BG"/>
              </w:rPr>
              <w:footnoteReference w:id="2"/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Въз основа на представения ЕЕДОП от избрания изпълнител, законосъобразно ли е допуснат от Комисията до по-нататъшно участие в процедурата?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6423E3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Default="006423E3" w:rsidP="006423E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Въз основа на представените ЕЕДОП от останалите участници в процедурата, законосъобразно ли са допуснати до по-нататъшно участие в процедурата/ отстранени от процедурата?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6423E3" w:rsidRDefault="006423E3"/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5391"/>
      </w:tblGrid>
      <w:tr w:rsidR="006423E3" w:rsidRPr="007A08A1" w:rsidTr="006423E3">
        <w:trPr>
          <w:trHeight w:val="465"/>
        </w:trPr>
        <w:tc>
          <w:tcPr>
            <w:tcW w:w="5383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ЮРИДИЧЕСКИ ЕКИП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5391" w:type="dxa"/>
            <w:shd w:val="clear" w:color="auto" w:fill="BFBFBF"/>
          </w:tcPr>
          <w:p w:rsidR="006423E3" w:rsidRPr="007A08A1" w:rsidRDefault="006423E3" w:rsidP="00C81157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да/не</w:t>
            </w:r>
          </w:p>
        </w:tc>
      </w:tr>
      <w:tr w:rsidR="006423E3" w:rsidRPr="007A08A1" w:rsidTr="006423E3">
        <w:trPr>
          <w:trHeight w:val="871"/>
        </w:trPr>
        <w:tc>
          <w:tcPr>
            <w:tcW w:w="5383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Предлаганият за избор изпълнител на СМР</w:t>
            </w:r>
            <w:r w:rsidR="005F7D08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/ЕСМ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участник отговаря на изискванията на НДЕФ и Възложителя</w:t>
            </w:r>
          </w:p>
        </w:tc>
        <w:tc>
          <w:tcPr>
            <w:tcW w:w="5391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:rsidR="006423E3" w:rsidRDefault="006423E3" w:rsidP="006423E3">
      <w:pPr>
        <w:ind w:firstLine="142"/>
      </w:pPr>
    </w:p>
    <w:p w:rsidR="006423E3" w:rsidRPr="007A08A1" w:rsidRDefault="006423E3" w:rsidP="006423E3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0"/>
      </w:tblGrid>
      <w:tr w:rsidR="006423E3" w:rsidRPr="007A08A1" w:rsidTr="006423E3">
        <w:trPr>
          <w:trHeight w:val="388"/>
          <w:jc w:val="center"/>
        </w:trPr>
        <w:tc>
          <w:tcPr>
            <w:tcW w:w="10910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6423E3" w:rsidRPr="007A08A1" w:rsidTr="006423E3">
        <w:trPr>
          <w:trHeight w:val="636"/>
          <w:jc w:val="center"/>
        </w:trPr>
        <w:tc>
          <w:tcPr>
            <w:tcW w:w="10910" w:type="dxa"/>
            <w:tcBorders>
              <w:bottom w:val="single" w:sz="4" w:space="0" w:color="auto"/>
            </w:tcBorders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6423E3" w:rsidRDefault="006423E3" w:rsidP="006423E3">
      <w:pPr>
        <w:ind w:firstLine="142"/>
      </w:pPr>
    </w:p>
    <w:tbl>
      <w:tblPr>
        <w:tblW w:w="10774" w:type="dxa"/>
        <w:tblInd w:w="-8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4000"/>
        <w:gridCol w:w="3040"/>
        <w:gridCol w:w="2781"/>
      </w:tblGrid>
      <w:tr w:rsidR="006423E3" w:rsidRPr="007A08A1" w:rsidTr="000C366C">
        <w:trPr>
          <w:trHeight w:val="315"/>
        </w:trPr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7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423E3" w:rsidRPr="007A08A1" w:rsidTr="000C366C">
        <w:trPr>
          <w:trHeight w:val="420"/>
        </w:trPr>
        <w:tc>
          <w:tcPr>
            <w:tcW w:w="9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</w:p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423E3" w:rsidRPr="007A08A1" w:rsidTr="000C366C">
        <w:trPr>
          <w:trHeight w:val="31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lastRenderedPageBreak/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</w:tbl>
    <w:p w:rsidR="006423E3" w:rsidRDefault="006423E3"/>
    <w:p w:rsidR="006423E3" w:rsidRDefault="006423E3"/>
    <w:p w:rsidR="006423E3" w:rsidRDefault="006423E3"/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574"/>
        <w:gridCol w:w="1842"/>
        <w:gridCol w:w="1460"/>
      </w:tblGrid>
      <w:tr w:rsidR="006423E3" w:rsidRPr="006423E3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1D1D1"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1D1D1"/>
            <w:noWrap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en-US"/>
              </w:rPr>
              <w:t xml:space="preserve">II. </w:t>
            </w: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 за проверка след подписване на договора за възлагане на обществената поръчка</w:t>
            </w:r>
          </w:p>
          <w:p w:rsidR="006423E3" w:rsidRPr="006423E3" w:rsidRDefault="006423E3" w:rsidP="006423E3">
            <w:pPr>
              <w:ind w:left="1080"/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/</w:t>
            </w:r>
            <w:r w:rsidRPr="006423E3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изпълнява се от</w:t>
            </w:r>
            <w:r w:rsidRPr="006423E3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6423E3">
              <w:rPr>
                <w:rFonts w:ascii="Book Antiqua" w:hAnsi="Book Antiqua" w:cs="Arial"/>
                <w:bCs/>
                <w:i/>
                <w:sz w:val="22"/>
                <w:szCs w:val="22"/>
                <w:lang w:val="bg-BG"/>
              </w:rPr>
              <w:t>юридически екип, определен от НДЕФ/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1D1D1"/>
            <w:noWrap/>
            <w:vAlign w:val="center"/>
          </w:tcPr>
          <w:p w:rsidR="006423E3" w:rsidRPr="006423E3" w:rsidRDefault="006423E3" w:rsidP="006423E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1D1D1"/>
          </w:tcPr>
          <w:p w:rsidR="006423E3" w:rsidRPr="006423E3" w:rsidRDefault="006423E3" w:rsidP="006423E3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:rsidR="006423E3" w:rsidRPr="006423E3" w:rsidRDefault="006423E3" w:rsidP="006423E3"/>
    <w:tbl>
      <w:tblPr>
        <w:tblW w:w="10837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3080"/>
        <w:gridCol w:w="7757"/>
      </w:tblGrid>
      <w:tr w:rsidR="006423E3" w:rsidRPr="006423E3" w:rsidTr="00C81157">
        <w:trPr>
          <w:trHeight w:val="406"/>
          <w:jc w:val="center"/>
        </w:trPr>
        <w:tc>
          <w:tcPr>
            <w:tcW w:w="30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6423E3" w:rsidRPr="006423E3" w:rsidRDefault="006423E3" w:rsidP="006423E3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/>
              </w:rPr>
              <w:t>Прогнозна стойност: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color w:val="000000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/>
                <w:color w:val="000000"/>
                <w:sz w:val="22"/>
                <w:szCs w:val="22"/>
                <w:shd w:val="clear" w:color="auto" w:fill="FFFFFF"/>
                <w:lang w:val="bg-BG"/>
              </w:rPr>
              <w:t xml:space="preserve"> </w:t>
            </w:r>
          </w:p>
        </w:tc>
      </w:tr>
      <w:tr w:rsidR="006423E3" w:rsidRPr="006423E3" w:rsidTr="00C81157">
        <w:trPr>
          <w:trHeight w:val="554"/>
          <w:jc w:val="center"/>
        </w:trPr>
        <w:tc>
          <w:tcPr>
            <w:tcW w:w="308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:rsidR="006423E3" w:rsidRPr="006423E3" w:rsidRDefault="006423E3" w:rsidP="006423E3">
            <w:pPr>
              <w:rPr>
                <w:rFonts w:ascii="Book Antiqua" w:hAnsi="Book Antiqua" w:cs="Arial"/>
                <w:b/>
                <w:color w:val="000000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b/>
                <w:color w:val="000000"/>
                <w:sz w:val="22"/>
                <w:szCs w:val="22"/>
                <w:lang w:val="bg-BG"/>
              </w:rPr>
              <w:t>Стойност на сключения договор: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:rsidR="006423E3" w:rsidRPr="006423E3" w:rsidRDefault="006423E3" w:rsidP="006423E3">
            <w:pPr>
              <w:jc w:val="both"/>
              <w:rPr>
                <w:rFonts w:ascii="Book Antiqua" w:hAnsi="Book Antiqua" w:cs="Arial"/>
                <w:color w:val="000000"/>
                <w:sz w:val="22"/>
                <w:szCs w:val="22"/>
                <w:lang w:val="bg-BG"/>
              </w:rPr>
            </w:pPr>
            <w:r w:rsidRPr="006423E3">
              <w:rPr>
                <w:rFonts w:ascii="Book Antiqua" w:hAnsi="Book Antiqua" w:cs="Arial"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</w:tr>
    </w:tbl>
    <w:p w:rsidR="006423E3" w:rsidRDefault="006423E3"/>
    <w:tbl>
      <w:tblPr>
        <w:tblW w:w="1072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798"/>
        <w:gridCol w:w="1618"/>
        <w:gridCol w:w="1460"/>
      </w:tblGrid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Решение за определяне на изпълнител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6423E3" w:rsidRPr="007A08A1">
              <w:rPr>
                <w:rFonts w:ascii="Book Antiqua" w:hAnsi="Book Antiqua" w:cs="Arial"/>
                <w:sz w:val="22"/>
                <w:szCs w:val="22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срокът за издаване на решение за определяне на изпълнител след получаването на резултатите от работата на комисията?</w:t>
            </w: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(чл. 106  и чл. 181 ал. 6 от ЗОП)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8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Решението на възложителя съответства ли на утвърдения протокол от работата на комисията?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23E3" w:rsidRPr="007A08A1" w:rsidRDefault="006423E3" w:rsidP="00C81157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Процедура по обжалване (когато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Обжалвани ли са актове на възложителя пред КЗК в сроковете по чл. 197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.2 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Образувано ли е производство?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9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Наложена ли е временна мярка „спиране на процедурата“ от КЗК? (ако е приложимо)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Договор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577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договора, използван ли е проект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ът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 от тръжната документация?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.2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Валидна ли е офертата на участника, определен за изпълнител</w:t>
            </w:r>
            <w:r w:rsidR="00481D12">
              <w:rPr>
                <w:rFonts w:ascii="Book Antiqua" w:hAnsi="Book Antiqua" w:cs="Arial"/>
                <w:sz w:val="22"/>
                <w:szCs w:val="22"/>
                <w:lang w:val="bg-BG"/>
              </w:rPr>
              <w:t>,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към датата на подписване  на договора?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.3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Правилно ли са посочени предмет на договора, описание на доставяната стока/услуга или обхват на строителството, количество, срок, място и условия на доставка, гаранционни условия съгласно предложението на участника?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.4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Посочени ли са цена на договора, условия и начин на плащане в съответствие с изискванията на Възложителя?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387D34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387D34"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387D34">
              <w:rPr>
                <w:rFonts w:ascii="Book Antiqua" w:hAnsi="Book Antiqua" w:cs="Arial"/>
                <w:sz w:val="22"/>
                <w:szCs w:val="22"/>
                <w:lang w:val="bg-BG"/>
              </w:rPr>
              <w:t>.5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387D34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387D34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идентично ли е с цената в сключения договор с изпълнителя?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 изпълнени ли са условията по чл. 112, ал. 1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423E3" w:rsidRPr="007A08A1" w:rsidTr="00C81157">
        <w:trPr>
          <w:trHeight w:val="270"/>
          <w:jc w:val="center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3E3" w:rsidRPr="007A08A1" w:rsidRDefault="000C366C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10</w:t>
            </w:r>
            <w:r w:rsidR="006423E3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  <w:r w:rsidR="006423E3">
              <w:rPr>
                <w:rFonts w:ascii="Book Antiqua" w:hAnsi="Book Antiqua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 спазени ли са сроковете по  чл. 112, ал. 6 - 8  от ЗОП?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</w:tbl>
    <w:p w:rsidR="006423E3" w:rsidRDefault="006423E3"/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3"/>
        <w:gridCol w:w="5533"/>
      </w:tblGrid>
      <w:tr w:rsidR="006423E3" w:rsidRPr="007A08A1" w:rsidTr="006423E3">
        <w:trPr>
          <w:trHeight w:val="465"/>
        </w:trPr>
        <w:tc>
          <w:tcPr>
            <w:tcW w:w="5383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bookmarkStart w:id="0" w:name="_Hlk185338850"/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НА ЮРИДИЧЕСКИЯ ЕКИП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5533" w:type="dxa"/>
            <w:shd w:val="clear" w:color="auto" w:fill="BFBFBF"/>
          </w:tcPr>
          <w:p w:rsidR="006423E3" w:rsidRPr="007A08A1" w:rsidRDefault="006423E3" w:rsidP="00C81157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да/не</w:t>
            </w:r>
          </w:p>
        </w:tc>
      </w:tr>
      <w:tr w:rsidR="006423E3" w:rsidRPr="007A08A1" w:rsidTr="006423E3">
        <w:tc>
          <w:tcPr>
            <w:tcW w:w="5383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Сключеният договор отговаря на изискванията на НДЕФ</w:t>
            </w:r>
          </w:p>
        </w:tc>
        <w:tc>
          <w:tcPr>
            <w:tcW w:w="5533" w:type="dxa"/>
            <w:shd w:val="clear" w:color="auto" w:fill="auto"/>
          </w:tcPr>
          <w:p w:rsidR="006423E3" w:rsidRPr="007A08A1" w:rsidRDefault="006423E3" w:rsidP="00C81157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  <w:bookmarkEnd w:id="0"/>
    </w:tbl>
    <w:p w:rsidR="006423E3" w:rsidRDefault="006423E3" w:rsidP="006423E3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:rsidR="006423E3" w:rsidRPr="007A08A1" w:rsidRDefault="006423E3" w:rsidP="006423E3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bookmarkStart w:id="1" w:name="_Hlk185339007"/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0"/>
      </w:tblGrid>
      <w:tr w:rsidR="006423E3" w:rsidRPr="007A08A1" w:rsidTr="000C366C">
        <w:trPr>
          <w:trHeight w:val="388"/>
          <w:jc w:val="center"/>
        </w:trPr>
        <w:tc>
          <w:tcPr>
            <w:tcW w:w="10910" w:type="dxa"/>
            <w:shd w:val="clear" w:color="auto" w:fill="BFBFBF"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6423E3" w:rsidRPr="007A08A1" w:rsidTr="000C366C">
        <w:trPr>
          <w:trHeight w:val="636"/>
          <w:jc w:val="center"/>
        </w:trPr>
        <w:tc>
          <w:tcPr>
            <w:tcW w:w="10910" w:type="dxa"/>
            <w:tcBorders>
              <w:bottom w:val="single" w:sz="4" w:space="0" w:color="auto"/>
            </w:tcBorders>
          </w:tcPr>
          <w:p w:rsidR="006423E3" w:rsidRPr="007A08A1" w:rsidRDefault="006423E3" w:rsidP="00C81157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bookmarkEnd w:id="1"/>
    </w:tbl>
    <w:p w:rsidR="006423E3" w:rsidRPr="007A08A1" w:rsidRDefault="006423E3" w:rsidP="006423E3">
      <w:pPr>
        <w:rPr>
          <w:rFonts w:ascii="Book Antiqua" w:hAnsi="Book Antiqua" w:cs="Arial"/>
          <w:sz w:val="22"/>
          <w:szCs w:val="22"/>
          <w:lang w:val="ru-RU"/>
        </w:rPr>
      </w:pPr>
    </w:p>
    <w:tbl>
      <w:tblPr>
        <w:tblW w:w="10774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4000"/>
        <w:gridCol w:w="3040"/>
        <w:gridCol w:w="2923"/>
      </w:tblGrid>
      <w:tr w:rsidR="006423E3" w:rsidRPr="007A08A1" w:rsidTr="00C81157">
        <w:trPr>
          <w:trHeight w:val="315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bookmarkStart w:id="2" w:name="_Hlk185339026"/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9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423E3" w:rsidRPr="007A08A1" w:rsidTr="00C81157">
        <w:trPr>
          <w:trHeight w:val="420"/>
        </w:trPr>
        <w:tc>
          <w:tcPr>
            <w:tcW w:w="8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423E3" w:rsidRPr="007A08A1" w:rsidTr="00C81157">
        <w:trPr>
          <w:trHeight w:val="31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23E3" w:rsidRPr="007A08A1" w:rsidRDefault="006423E3" w:rsidP="00C81157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bookmarkEnd w:id="2"/>
    </w:tbl>
    <w:p w:rsidR="006423E3" w:rsidRDefault="006423E3"/>
    <w:sectPr w:rsidR="006423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6F5" w:rsidRDefault="00E766F5" w:rsidP="00E766F5">
      <w:r>
        <w:separator/>
      </w:r>
    </w:p>
  </w:endnote>
  <w:endnote w:type="continuationSeparator" w:id="0">
    <w:p w:rsidR="00E766F5" w:rsidRDefault="00E766F5" w:rsidP="00E76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40" w:rsidRDefault="00E079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3547619"/>
      <w:docPartObj>
        <w:docPartGallery w:val="Page Numbers (Bottom of Page)"/>
        <w:docPartUnique/>
      </w:docPartObj>
    </w:sdtPr>
    <w:sdtEndPr>
      <w:rPr>
        <w:rFonts w:ascii="Book Antiqua" w:hAnsi="Book Antiqua"/>
        <w:noProof/>
      </w:rPr>
    </w:sdtEndPr>
    <w:sdtContent>
      <w:p w:rsidR="00E07940" w:rsidRPr="00E07940" w:rsidRDefault="00E07940">
        <w:pPr>
          <w:pStyle w:val="Footer"/>
          <w:jc w:val="right"/>
          <w:rPr>
            <w:rFonts w:ascii="Book Antiqua" w:hAnsi="Book Antiqua"/>
          </w:rPr>
        </w:pPr>
        <w:r w:rsidRPr="00E07940">
          <w:rPr>
            <w:rFonts w:ascii="Book Antiqua" w:hAnsi="Book Antiqua"/>
          </w:rPr>
          <w:fldChar w:fldCharType="begin"/>
        </w:r>
        <w:r w:rsidRPr="00E07940">
          <w:rPr>
            <w:rFonts w:ascii="Book Antiqua" w:hAnsi="Book Antiqua"/>
          </w:rPr>
          <w:instrText xml:space="preserve"> PAGE   \* MERGEFORMAT </w:instrText>
        </w:r>
        <w:r w:rsidRPr="00E07940">
          <w:rPr>
            <w:rFonts w:ascii="Book Antiqua" w:hAnsi="Book Antiqua"/>
          </w:rPr>
          <w:fldChar w:fldCharType="separate"/>
        </w:r>
        <w:r w:rsidRPr="00E07940">
          <w:rPr>
            <w:rFonts w:ascii="Book Antiqua" w:hAnsi="Book Antiqua"/>
            <w:noProof/>
          </w:rPr>
          <w:t>2</w:t>
        </w:r>
        <w:r w:rsidRPr="00E07940">
          <w:rPr>
            <w:rFonts w:ascii="Book Antiqua" w:hAnsi="Book Antiqua"/>
            <w:noProof/>
          </w:rPr>
          <w:fldChar w:fldCharType="end"/>
        </w:r>
      </w:p>
    </w:sdtContent>
  </w:sdt>
  <w:p w:rsidR="00E07940" w:rsidRDefault="00E07940">
    <w:pPr>
      <w:pStyle w:val="Footer"/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40" w:rsidRDefault="00E079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6F5" w:rsidRDefault="00E766F5" w:rsidP="00E766F5">
      <w:r>
        <w:separator/>
      </w:r>
    </w:p>
  </w:footnote>
  <w:footnote w:type="continuationSeparator" w:id="0">
    <w:p w:rsidR="00E766F5" w:rsidRDefault="00E766F5" w:rsidP="00E766F5">
      <w:r>
        <w:continuationSeparator/>
      </w:r>
    </w:p>
  </w:footnote>
  <w:footnote w:id="1">
    <w:p w:rsidR="006423E3" w:rsidRPr="00C6555A" w:rsidRDefault="006423E3" w:rsidP="006423E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Проверява се протокола от работата на комисията, въз основа на който е взето решение на възложителя за определяне на изпълнител, за спазване на приложимите процедурни правила</w:t>
      </w:r>
    </w:p>
  </w:footnote>
  <w:footnote w:id="2">
    <w:p w:rsidR="006423E3" w:rsidRPr="006E23F4" w:rsidRDefault="006423E3" w:rsidP="006423E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че ЕЕДОП от останалите участници в процедурата са предоставени за преглед.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40" w:rsidRDefault="00E079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774" w:type="dxa"/>
      <w:tblInd w:w="-851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3578"/>
    </w:tblGrid>
    <w:tr w:rsidR="00781CD3" w:rsidTr="00781CD3">
      <w:tc>
        <w:tcPr>
          <w:tcW w:w="7196" w:type="dxa"/>
          <w:vAlign w:val="center"/>
        </w:tcPr>
        <w:p w:rsidR="00781CD3" w:rsidRPr="005949FD" w:rsidRDefault="00781CD3" w:rsidP="00781CD3">
          <w:pPr>
            <w:rPr>
              <w:rFonts w:ascii="Book Antiqua" w:eastAsiaTheme="minorHAnsi" w:hAnsi="Book Antiqua" w:cstheme="minorBidi"/>
              <w:bCs/>
              <w:smallCaps/>
              <w:kern w:val="2"/>
              <w:lang w:val="bg-BG"/>
              <w14:ligatures w14:val="standardContextual"/>
            </w:rPr>
          </w:pPr>
          <w:r w:rsidRPr="005949FD">
            <w:rPr>
              <w:rFonts w:ascii="Book Antiqua" w:eastAsiaTheme="minorHAnsi" w:hAnsi="Book Antiqua" w:cstheme="minorBidi"/>
              <w:bCs/>
              <w:smallCaps/>
              <w:kern w:val="2"/>
              <w:lang w:val="bg-BG"/>
              <w14:ligatures w14:val="standardContextual"/>
            </w:rPr>
            <w:t xml:space="preserve">Подпрограма „Енергийна ефективност </w:t>
          </w:r>
        </w:p>
        <w:p w:rsidR="00781CD3" w:rsidRPr="000D3889" w:rsidRDefault="00781CD3" w:rsidP="00781CD3">
          <w:pPr>
            <w:rPr>
              <w:rFonts w:ascii="Book Antiqua" w:eastAsiaTheme="minorHAnsi" w:hAnsi="Book Antiqua" w:cstheme="minorBidi"/>
              <w:b/>
              <w:bCs/>
              <w:kern w:val="2"/>
              <w:sz w:val="22"/>
              <w:szCs w:val="22"/>
              <w:lang w:val="en-US"/>
              <w14:ligatures w14:val="standardContextual"/>
            </w:rPr>
          </w:pPr>
          <w:r w:rsidRPr="005949FD">
            <w:rPr>
              <w:rFonts w:ascii="Book Antiqua" w:eastAsiaTheme="minorHAnsi" w:hAnsi="Book Antiqua" w:cstheme="minorBidi"/>
              <w:bCs/>
              <w:smallCaps/>
              <w:kern w:val="2"/>
              <w:lang w:val="bg-BG"/>
              <w14:ligatures w14:val="standardContextual"/>
            </w:rPr>
            <w:t>на общински училища и детски градини“</w:t>
          </w:r>
        </w:p>
      </w:tc>
      <w:tc>
        <w:tcPr>
          <w:tcW w:w="3578" w:type="dxa"/>
          <w:vAlign w:val="center"/>
        </w:tcPr>
        <w:p w:rsidR="00781CD3" w:rsidRDefault="00781CD3" w:rsidP="00781CD3">
          <w:pPr>
            <w:jc w:val="right"/>
            <w:rPr>
              <w:rFonts w:ascii="Book Antiqua" w:eastAsiaTheme="minorHAnsi" w:hAnsi="Book Antiqua" w:cstheme="minorBidi"/>
              <w:bCs/>
              <w:kern w:val="2"/>
              <w:sz w:val="22"/>
              <w:szCs w:val="22"/>
              <w:lang w:val="en-US"/>
              <w14:ligatures w14:val="standardContextual"/>
            </w:rPr>
          </w:pPr>
          <w:r>
            <w:rPr>
              <w:rFonts w:ascii="Book Antiqua" w:eastAsiaTheme="minorHAnsi" w:hAnsi="Book Antiqua" w:cstheme="minorBidi"/>
              <w:bCs/>
              <w:noProof/>
              <w:kern w:val="2"/>
              <w:sz w:val="22"/>
              <w:szCs w:val="22"/>
              <w:lang w:val="en-US"/>
            </w:rPr>
            <w:drawing>
              <wp:inline distT="0" distB="0" distL="0" distR="0" wp14:anchorId="76092F41" wp14:editId="5966CBB8">
                <wp:extent cx="1461966" cy="460309"/>
                <wp:effectExtent l="0" t="0" r="508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766F5" w:rsidRPr="00781CD3" w:rsidRDefault="00E766F5" w:rsidP="00781C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940" w:rsidRDefault="00E079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F5"/>
    <w:rsid w:val="000C366C"/>
    <w:rsid w:val="00387D34"/>
    <w:rsid w:val="00481D12"/>
    <w:rsid w:val="005834E5"/>
    <w:rsid w:val="005F7D08"/>
    <w:rsid w:val="006423E3"/>
    <w:rsid w:val="00781CD3"/>
    <w:rsid w:val="007B1285"/>
    <w:rsid w:val="00DF581A"/>
    <w:rsid w:val="00E07940"/>
    <w:rsid w:val="00E7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68D48"/>
  <w15:chartTrackingRefBased/>
  <w15:docId w15:val="{A99F31D6-3B37-4996-BA8D-F9A53C52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6F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E766F5"/>
  </w:style>
  <w:style w:type="paragraph" w:styleId="Footer">
    <w:name w:val="footer"/>
    <w:basedOn w:val="Normal"/>
    <w:link w:val="FooterChar"/>
    <w:uiPriority w:val="99"/>
    <w:unhideWhenUsed/>
    <w:rsid w:val="00E766F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E766F5"/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6423E3"/>
    <w:rPr>
      <w:lang w:eastAsia="fr-BE"/>
    </w:rPr>
  </w:style>
  <w:style w:type="character" w:customStyle="1" w:styleId="FootnoteTextChar">
    <w:name w:val="Footnote Text Char"/>
    <w:aliases w:val="Footnote Char, Char1 Char Char,Footnote Char1 Char,ESPON Footnote Text Char"/>
    <w:basedOn w:val="DefaultParagraphFont"/>
    <w:link w:val="FootnoteText"/>
    <w:rsid w:val="006423E3"/>
    <w:rPr>
      <w:rFonts w:ascii="Times New Roman" w:eastAsia="Times New Roman" w:hAnsi="Times New Roman" w:cs="Times New Roman"/>
      <w:sz w:val="20"/>
      <w:szCs w:val="20"/>
      <w:lang w:val="en-GB" w:eastAsia="fr-BE"/>
    </w:rPr>
  </w:style>
  <w:style w:type="character" w:styleId="FootnoteReference">
    <w:name w:val="footnote reference"/>
    <w:semiHidden/>
    <w:rsid w:val="006423E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08"/>
    <w:rPr>
      <w:rFonts w:ascii="Segoe UI" w:eastAsia="Times New Roman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781CD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ECOFUND</Company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G.Veleva.PC9-DESK</dc:creator>
  <cp:keywords/>
  <dc:description/>
  <cp:lastModifiedBy>M.Minkova.PC1-LPT</cp:lastModifiedBy>
  <cp:revision>4</cp:revision>
  <dcterms:created xsi:type="dcterms:W3CDTF">2025-08-18T12:50:00Z</dcterms:created>
  <dcterms:modified xsi:type="dcterms:W3CDTF">2025-08-21T08:36:00Z</dcterms:modified>
</cp:coreProperties>
</file>